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keepNext/>
        <w:keepLines/>
        <w:spacing w:after="0" w:line="570" w:lineRule="exact"/>
        <w:jc w:val="both"/>
        <w:outlineLvl w:val="9"/>
        <w:rPr>
          <w:rFonts w:ascii="黑体" w:hAnsi="黑体" w:eastAsia="PMingLiU"/>
          <w:color w:val="auto"/>
          <w:sz w:val="32"/>
        </w:rPr>
      </w:pPr>
      <w:bookmarkStart w:id="0" w:name="bookmark27"/>
      <w:bookmarkStart w:id="1" w:name="bookmark28"/>
      <w:bookmarkStart w:id="2" w:name="bookmark26"/>
      <w:r>
        <w:rPr>
          <w:rFonts w:hint="eastAsia" w:ascii="黑体" w:hAnsi="黑体" w:eastAsia="黑体"/>
          <w:color w:val="auto"/>
          <w:sz w:val="32"/>
        </w:rPr>
        <w:t>附件</w:t>
      </w:r>
    </w:p>
    <w:p>
      <w:pPr>
        <w:pStyle w:val="10"/>
        <w:keepNext/>
        <w:keepLines/>
        <w:spacing w:after="0" w:line="640" w:lineRule="exact"/>
        <w:outlineLvl w:val="0"/>
        <w:rPr>
          <w:rFonts w:ascii="Times New Roman" w:hAnsi="黑体" w:eastAsia="方正小标宋简体"/>
          <w:color w:val="auto"/>
          <w:sz w:val="44"/>
        </w:rPr>
      </w:pPr>
    </w:p>
    <w:p>
      <w:pPr>
        <w:pStyle w:val="10"/>
        <w:keepNext/>
        <w:keepLines/>
        <w:spacing w:after="0" w:line="640" w:lineRule="exact"/>
        <w:outlineLvl w:val="0"/>
        <w:rPr>
          <w:rFonts w:ascii="Times New Roman" w:eastAsia="方正小标宋简体"/>
          <w:color w:val="39413F"/>
          <w:sz w:val="44"/>
        </w:rPr>
      </w:pPr>
      <w:r>
        <w:rPr>
          <w:rFonts w:ascii="Times New Roman" w:eastAsia="方正小标宋简体"/>
          <w:color w:val="39413F"/>
          <w:sz w:val="44"/>
        </w:rPr>
        <w:t>第</w:t>
      </w:r>
      <w:r>
        <w:rPr>
          <w:rFonts w:hint="eastAsia" w:ascii="Times New Roman" w:hAnsi="Times New Roman" w:eastAsia="方正小标宋简体" w:cs="Times New Roman"/>
          <w:color w:val="39413F"/>
          <w:sz w:val="44"/>
          <w:szCs w:val="42"/>
          <w:lang w:val="en-US" w:eastAsia="zh-CN"/>
        </w:rPr>
        <w:t>三</w:t>
      </w:r>
      <w:r>
        <w:rPr>
          <w:rFonts w:ascii="Times New Roman" w:eastAsia="方正小标宋简体"/>
          <w:color w:val="39413F"/>
          <w:sz w:val="44"/>
        </w:rPr>
        <w:t>轮省级生态环境保护督察第</w:t>
      </w:r>
      <w:r>
        <w:rPr>
          <w:rFonts w:hint="eastAsia" w:ascii="Times New Roman" w:hAnsi="Times New Roman" w:eastAsia="方正小标宋简体" w:cs="Times New Roman"/>
          <w:color w:val="39413F"/>
          <w:sz w:val="44"/>
          <w:szCs w:val="42"/>
          <w:lang w:val="en-US" w:eastAsia="zh-CN"/>
        </w:rPr>
        <w:t>二十二</w:t>
      </w:r>
      <w:r>
        <w:rPr>
          <w:rFonts w:ascii="Times New Roman" w:eastAsia="方正小标宋简体"/>
          <w:color w:val="39413F"/>
          <w:sz w:val="44"/>
        </w:rPr>
        <w:t>项</w:t>
      </w:r>
    </w:p>
    <w:p>
      <w:pPr>
        <w:pStyle w:val="10"/>
        <w:keepNext/>
        <w:keepLines/>
        <w:spacing w:after="0" w:line="640" w:lineRule="exact"/>
        <w:outlineLvl w:val="0"/>
        <w:rPr>
          <w:rFonts w:ascii="Times New Roman" w:eastAsia="方正小标宋简体"/>
          <w:color w:val="39413F"/>
          <w:sz w:val="44"/>
        </w:rPr>
      </w:pPr>
      <w:r>
        <w:rPr>
          <w:rFonts w:ascii="Times New Roman" w:eastAsia="方正小标宋简体"/>
          <w:color w:val="39413F"/>
          <w:sz w:val="44"/>
        </w:rPr>
        <w:t>整改任务完成情况表</w:t>
      </w:r>
      <w:bookmarkEnd w:id="0"/>
      <w:bookmarkEnd w:id="1"/>
      <w:bookmarkEnd w:id="2"/>
    </w:p>
    <w:p>
      <w:pPr>
        <w:pStyle w:val="10"/>
        <w:keepNext/>
        <w:keepLines/>
        <w:spacing w:after="0" w:line="640" w:lineRule="exact"/>
        <w:outlineLvl w:val="0"/>
        <w:rPr>
          <w:rFonts w:ascii="Times New Roman" w:eastAsia="方正小标宋简体"/>
          <w:sz w:val="44"/>
        </w:rPr>
      </w:pPr>
    </w:p>
    <w:tbl>
      <w:tblPr>
        <w:tblStyle w:val="8"/>
        <w:tblW w:w="88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
      <w:tblGrid>
        <w:gridCol w:w="1980"/>
        <w:gridCol w:w="68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jc w:val="center"/>
        </w:trPr>
        <w:tc>
          <w:tcPr>
            <w:tcW w:w="1980" w:type="dxa"/>
            <w:shd w:val="clear" w:color="auto" w:fill="FFFFFF"/>
            <w:vAlign w:val="center"/>
          </w:tcPr>
          <w:p>
            <w:pPr>
              <w:pStyle w:val="13"/>
              <w:spacing w:line="560" w:lineRule="exact"/>
              <w:ind w:firstLine="0"/>
              <w:jc w:val="center"/>
              <w:outlineLvl w:val="1"/>
              <w:rPr>
                <w:rFonts w:ascii="Times New Roman" w:hAnsi="黑体" w:eastAsia="黑体"/>
              </w:rPr>
            </w:pPr>
            <w:r>
              <w:rPr>
                <w:rFonts w:ascii="Times New Roman" w:hAnsi="黑体" w:eastAsia="黑体"/>
                <w:color w:val="39413F"/>
              </w:rPr>
              <w:t>整改任务</w:t>
            </w:r>
          </w:p>
        </w:tc>
        <w:tc>
          <w:tcPr>
            <w:tcW w:w="6899" w:type="dxa"/>
            <w:shd w:val="clear" w:color="auto" w:fill="FFFFFF"/>
            <w:vAlign w:val="center"/>
          </w:tcPr>
          <w:p>
            <w:pPr>
              <w:spacing w:line="550" w:lineRule="exact"/>
              <w:ind w:firstLine="472" w:firstLineChars="200"/>
              <w:jc w:val="both"/>
              <w:rPr>
                <w:rFonts w:ascii="仿宋_GB2312" w:hAnsi="宋体" w:eastAsia="仿宋_GB2312" w:cs="宋体"/>
                <w:szCs w:val="32"/>
                <w:lang w:eastAsia="zh-CN"/>
              </w:rPr>
            </w:pPr>
            <w:r>
              <w:rPr>
                <w:rFonts w:hint="eastAsia" w:ascii="仿宋_GB2312" w:hAnsi="仿宋_GB2312" w:eastAsia="仿宋_GB2312" w:cs="仿宋_GB2312"/>
                <w:sz w:val="24"/>
                <w:szCs w:val="24"/>
                <w:lang w:val="en-US" w:eastAsia="zh-CN"/>
              </w:rPr>
              <w:t>四川省第三轮第一批生态环境保护督察报告整改方案第二十二项整改任务：一些下属企业危险废物管理混乱，产处底数不清、短板突出。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089" w:hRule="exact"/>
          <w:jc w:val="center"/>
        </w:trPr>
        <w:tc>
          <w:tcPr>
            <w:tcW w:w="1980" w:type="dxa"/>
            <w:shd w:val="clear" w:color="auto" w:fill="FFFFFF"/>
            <w:vAlign w:val="center"/>
          </w:tcPr>
          <w:p>
            <w:pPr>
              <w:pStyle w:val="13"/>
              <w:spacing w:line="560" w:lineRule="exact"/>
              <w:ind w:firstLine="0"/>
              <w:jc w:val="center"/>
              <w:outlineLvl w:val="1"/>
              <w:rPr>
                <w:rFonts w:ascii="Times New Roman" w:hAnsi="黑体" w:eastAsia="黑体"/>
              </w:rPr>
            </w:pPr>
            <w:r>
              <w:rPr>
                <w:rFonts w:ascii="Times New Roman" w:hAnsi="黑体" w:eastAsia="黑体"/>
                <w:color w:val="39413F"/>
              </w:rPr>
              <w:t>整改责任单位</w:t>
            </w:r>
          </w:p>
        </w:tc>
        <w:tc>
          <w:tcPr>
            <w:tcW w:w="6899" w:type="dxa"/>
            <w:shd w:val="clear" w:color="auto" w:fill="FFFFFF"/>
            <w:vAlign w:val="center"/>
          </w:tcPr>
          <w:p>
            <w:pPr>
              <w:spacing w:line="550" w:lineRule="exact"/>
              <w:ind w:firstLine="472" w:firstLineChars="200"/>
              <w:jc w:val="both"/>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四川高速公路建设开发集团有限公司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014" w:hRule="exact"/>
          <w:jc w:val="center"/>
        </w:trPr>
        <w:tc>
          <w:tcPr>
            <w:tcW w:w="1980" w:type="dxa"/>
            <w:shd w:val="clear" w:color="auto" w:fill="FFFFFF"/>
            <w:vAlign w:val="center"/>
          </w:tcPr>
          <w:p>
            <w:pPr>
              <w:pStyle w:val="13"/>
              <w:spacing w:line="560" w:lineRule="exact"/>
              <w:ind w:firstLine="0"/>
              <w:jc w:val="center"/>
              <w:outlineLvl w:val="1"/>
              <w:rPr>
                <w:rFonts w:ascii="Times New Roman" w:hAnsi="黑体" w:eastAsia="黑体"/>
              </w:rPr>
            </w:pPr>
            <w:r>
              <w:rPr>
                <w:rFonts w:ascii="Times New Roman" w:hAnsi="黑体" w:eastAsia="黑体"/>
                <w:color w:val="39413F"/>
              </w:rPr>
              <w:t>整改目标</w:t>
            </w:r>
          </w:p>
        </w:tc>
        <w:tc>
          <w:tcPr>
            <w:tcW w:w="6899"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550" w:lineRule="exact"/>
              <w:ind w:firstLine="472" w:firstLineChars="200"/>
              <w:jc w:val="both"/>
              <w:textAlignment w:val="auto"/>
              <w:rPr>
                <w:rFonts w:ascii="仿宋_GB2312" w:eastAsia="仿宋_GB2312"/>
                <w:szCs w:val="32"/>
                <w:lang w:eastAsia="zh-CN"/>
              </w:rPr>
            </w:pPr>
            <w:r>
              <w:rPr>
                <w:rFonts w:hint="eastAsia" w:ascii="仿宋_GB2312" w:hAnsi="仿宋_GB2312" w:eastAsia="仿宋_GB2312" w:cs="仿宋_GB2312"/>
                <w:sz w:val="24"/>
                <w:szCs w:val="24"/>
                <w:lang w:val="en-US" w:eastAsia="zh-CN"/>
              </w:rPr>
              <w:t>补齐危废管理短板，健全完善危险废物管理机制。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902" w:hRule="atLeast"/>
          <w:jc w:val="center"/>
        </w:trPr>
        <w:tc>
          <w:tcPr>
            <w:tcW w:w="1980" w:type="dxa"/>
            <w:shd w:val="clear" w:color="auto" w:fill="FFFFFF"/>
            <w:vAlign w:val="center"/>
          </w:tcPr>
          <w:p>
            <w:pPr>
              <w:pStyle w:val="13"/>
              <w:spacing w:line="560" w:lineRule="exact"/>
              <w:ind w:firstLine="0"/>
              <w:jc w:val="center"/>
              <w:outlineLvl w:val="1"/>
              <w:rPr>
                <w:rFonts w:ascii="Times New Roman" w:hAnsi="黑体" w:eastAsia="黑体"/>
              </w:rPr>
            </w:pPr>
            <w:r>
              <w:rPr>
                <w:rFonts w:ascii="Times New Roman" w:hAnsi="黑体" w:eastAsia="黑体"/>
                <w:color w:val="1F2121"/>
              </w:rPr>
              <w:t>整改措施</w:t>
            </w:r>
          </w:p>
        </w:tc>
        <w:tc>
          <w:tcPr>
            <w:tcW w:w="6899" w:type="dxa"/>
            <w:shd w:val="clear" w:color="auto" w:fill="FFFFFF"/>
          </w:tcPr>
          <w:p>
            <w:pPr>
              <w:numPr>
                <w:ilvl w:val="0"/>
                <w:numId w:val="0"/>
              </w:numPr>
              <w:ind w:firstLine="472" w:firstLineChars="200"/>
              <w:jc w:val="left"/>
              <w:rPr>
                <w:rFonts w:eastAsia="仿宋_GB2312"/>
                <w:color w:val="auto"/>
                <w:szCs w:val="32"/>
                <w:lang w:eastAsia="zh-CN"/>
              </w:rPr>
            </w:pPr>
            <w:r>
              <w:rPr>
                <w:rFonts w:hint="eastAsia" w:ascii="仿宋_GB2312" w:hAnsi="仿宋_GB2312" w:eastAsia="仿宋_GB2312" w:cs="仿宋_GB2312"/>
                <w:sz w:val="24"/>
                <w:szCs w:val="24"/>
                <w:lang w:val="en-US" w:eastAsia="zh-CN"/>
              </w:rPr>
              <w:t>2023年9月底前组织开展危险废物相关规范、标准培训，提升危险废物管理意识和能力，完善危险废物管理制度，建立危险废物产生、处置台账，严格危险废物收集、暂存、转运流程。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jc w:val="center"/>
        </w:trPr>
        <w:tc>
          <w:tcPr>
            <w:tcW w:w="1980" w:type="dxa"/>
            <w:shd w:val="clear" w:color="auto" w:fill="FFFFFF"/>
            <w:vAlign w:val="center"/>
          </w:tcPr>
          <w:p>
            <w:pPr>
              <w:pStyle w:val="13"/>
              <w:spacing w:line="560" w:lineRule="exact"/>
              <w:ind w:firstLine="0"/>
              <w:jc w:val="center"/>
              <w:outlineLvl w:val="1"/>
              <w:rPr>
                <w:rFonts w:ascii="Times New Roman" w:hAnsi="黑体" w:eastAsia="PMingLiU"/>
                <w:color w:val="1F2121"/>
              </w:rPr>
            </w:pPr>
            <w:r>
              <w:rPr>
                <w:rFonts w:ascii="Times New Roman" w:hAnsi="黑体" w:eastAsia="黑体"/>
                <w:color w:val="1F2121"/>
              </w:rPr>
              <w:t>整改主要工作</w:t>
            </w:r>
          </w:p>
          <w:p>
            <w:pPr>
              <w:pStyle w:val="13"/>
              <w:spacing w:line="560" w:lineRule="exact"/>
              <w:ind w:firstLine="0"/>
              <w:jc w:val="center"/>
              <w:outlineLvl w:val="1"/>
              <w:rPr>
                <w:rFonts w:ascii="Times New Roman" w:hAnsi="黑体" w:eastAsia="黑体"/>
              </w:rPr>
            </w:pPr>
            <w:r>
              <w:rPr>
                <w:rFonts w:ascii="Times New Roman" w:hAnsi="黑体" w:eastAsia="黑体"/>
                <w:color w:val="1F2121"/>
              </w:rPr>
              <w:t>及成效</w:t>
            </w:r>
          </w:p>
        </w:tc>
        <w:tc>
          <w:tcPr>
            <w:tcW w:w="6899" w:type="dxa"/>
            <w:shd w:val="clear" w:color="auto" w:fill="FFFFFF"/>
          </w:tcPr>
          <w:p>
            <w:pPr>
              <w:pStyle w:val="4"/>
              <w:ind w:firstLine="472" w:firstLineChars="200"/>
              <w:rPr>
                <w:lang w:eastAsia="zh-CN"/>
              </w:rPr>
            </w:pPr>
            <w:r>
              <w:rPr>
                <w:rFonts w:hint="eastAsia" w:ascii="仿宋_GB2312" w:hAnsi="仿宋_GB2312" w:eastAsia="仿宋_GB2312" w:cs="仿宋_GB2312"/>
                <w:sz w:val="24"/>
                <w:szCs w:val="24"/>
                <w:lang w:val="en-US" w:eastAsia="zh-CN"/>
              </w:rPr>
              <w:t>川高公司已邀请生态环境保护专家，组织川高系统各单位分管领导及环保部门负责人开展危险废物相关规范、标准培训，提升危险废物管理意识和能力，印发《四川高速公路建设开发集团有限公司关于进一步加强川高系统危险废物管理工作的通知》（川高路函〔2023〕552 号），指导并要求川高系统各单位建立健全危险废物管理制度，危险废物产生、处置台账，严格危险废物收集、暂存、转运流程，目前各单位已建立危废物管理制度并报川高公司安全环保部备案，该项工作落实情况</w:t>
            </w:r>
            <w:bookmarkStart w:id="3" w:name="_GoBack"/>
            <w:bookmarkEnd w:id="3"/>
            <w:r>
              <w:rPr>
                <w:rFonts w:hint="eastAsia" w:ascii="仿宋_GB2312" w:hAnsi="仿宋_GB2312" w:eastAsia="仿宋_GB2312" w:cs="仿宋_GB2312"/>
                <w:sz w:val="24"/>
                <w:szCs w:val="24"/>
                <w:lang w:val="en-US" w:eastAsia="zh-CN"/>
              </w:rPr>
              <w:t>纳入年终任务考核。</w:t>
            </w:r>
          </w:p>
          <w:p>
            <w:pPr>
              <w:rPr>
                <w:lang w:eastAsia="zh-CN"/>
              </w:rPr>
            </w:pPr>
          </w:p>
          <w:p>
            <w:pPr>
              <w:pStyle w:val="2"/>
              <w:rPr>
                <w:lang w:eastAsia="zh-CN"/>
              </w:rPr>
            </w:pPr>
          </w:p>
          <w:p>
            <w:pPr>
              <w:pStyle w:val="4"/>
              <w:rPr>
                <w:lang w:eastAsia="zh-CN"/>
              </w:rPr>
            </w:pPr>
          </w:p>
          <w:p>
            <w:pPr>
              <w:pStyle w:val="2"/>
              <w:ind w:left="0" w:leftChars="0" w:firstLine="0" w:firstLineChars="0"/>
              <w:rPr>
                <w:lang w:eastAsia="zh-CN"/>
              </w:rPr>
            </w:pPr>
          </w:p>
          <w:p>
            <w:pPr>
              <w:pStyle w:val="4"/>
              <w:rPr>
                <w:lang w:eastAsia="zh-CN"/>
              </w:rPr>
            </w:pPr>
          </w:p>
        </w:tc>
      </w:tr>
    </w:tbl>
    <w:p>
      <w:pPr>
        <w:rPr>
          <w:lang w:eastAsia="zh-CN"/>
        </w:rPr>
      </w:pPr>
    </w:p>
    <w:sectPr>
      <w:headerReference r:id="rId5" w:type="first"/>
      <w:headerReference r:id="rId3" w:type="default"/>
      <w:footerReference r:id="rId6" w:type="default"/>
      <w:headerReference r:id="rId4" w:type="even"/>
      <w:footerReference r:id="rId7" w:type="even"/>
      <w:pgSz w:w="11907" w:h="16839"/>
      <w:pgMar w:top="2098" w:right="1474" w:bottom="1984" w:left="1587" w:header="850" w:footer="1417" w:gutter="0"/>
      <w:cols w:space="425" w:num="1"/>
      <w:docGrid w:type="linesAndChars" w:linePitch="579" w:charSpace="-83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MingLiU">
    <w:altName w:val="PMingLiU-ExtB"/>
    <w:panose1 w:val="02020500000000000000"/>
    <w:charset w:val="88"/>
    <w:family w:val="roma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napToGrid/>
      <w:ind w:right="320" w:rightChars="100"/>
      <w:jc w:val="right"/>
      <w:rPr>
        <w:rFonts w:ascii="宋体" w:hAnsi="宋体" w:eastAsia="宋体"/>
        <w:sz w:val="28"/>
      </w:rPr>
    </w:pPr>
    <w:r>
      <w:rPr>
        <w:rFonts w:ascii="宋体" w:hAnsi="宋体" w:eastAsia="宋体"/>
        <w:sz w:val="28"/>
      </w:rPr>
      <w:t xml:space="preserve">— </w:t>
    </w:r>
    <w:r>
      <w:rPr>
        <w:rFonts w:ascii="宋体" w:hAnsi="宋体" w:eastAsia="宋体"/>
        <w:sz w:val="28"/>
      </w:rPr>
      <w:fldChar w:fldCharType="begin"/>
    </w:r>
    <w:r>
      <w:rPr>
        <w:rFonts w:ascii="宋体" w:hAnsi="宋体" w:eastAsia="宋体"/>
        <w:sz w:val="28"/>
      </w:rPr>
      <w:instrText xml:space="preserve"> PAGE Page \* MERGEFORMAT </w:instrText>
    </w:r>
    <w:r>
      <w:rPr>
        <w:rFonts w:ascii="宋体" w:hAnsi="宋体" w:eastAsia="宋体"/>
        <w:sz w:val="28"/>
      </w:rPr>
      <w:fldChar w:fldCharType="separate"/>
    </w:r>
    <w:r>
      <w:rPr>
        <w:rFonts w:ascii="宋体" w:hAnsi="宋体" w:eastAsia="宋体"/>
        <w:sz w:val="28"/>
      </w:rPr>
      <w:t>2</w:t>
    </w:r>
    <w:r>
      <w:rPr>
        <w:rFonts w:ascii="宋体" w:hAnsi="宋体" w:eastAsia="宋体"/>
        <w:sz w:val="28"/>
      </w:rPr>
      <w:fldChar w:fldCharType="end"/>
    </w:r>
    <w:r>
      <w:rPr>
        <w:rFonts w:ascii="宋体" w:hAnsi="宋体" w:eastAsia="宋体"/>
        <w:sz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napToGrid/>
      <w:ind w:left="320" w:leftChars="100"/>
      <w:rPr>
        <w:rFonts w:ascii="宋体" w:hAnsi="宋体" w:eastAsia="宋体"/>
        <w:sz w:val="28"/>
      </w:rPr>
    </w:pPr>
    <w:r>
      <w:rPr>
        <w:rFonts w:ascii="宋体" w:hAnsi="宋体" w:eastAsia="宋体"/>
        <w:sz w:val="28"/>
      </w:rPr>
      <w:t xml:space="preserve">— </w:t>
    </w:r>
    <w:r>
      <w:rPr>
        <w:rFonts w:ascii="宋体" w:hAnsi="宋体" w:eastAsia="宋体"/>
        <w:sz w:val="28"/>
      </w:rPr>
      <w:fldChar w:fldCharType="begin"/>
    </w:r>
    <w:r>
      <w:rPr>
        <w:rFonts w:ascii="宋体" w:hAnsi="宋体" w:eastAsia="宋体"/>
        <w:sz w:val="28"/>
      </w:rPr>
      <w:instrText xml:space="preserve"> PAGE Page \* MERGEFORMAT </w:instrText>
    </w:r>
    <w:r>
      <w:rPr>
        <w:rFonts w:ascii="宋体" w:hAnsi="宋体" w:eastAsia="宋体"/>
        <w:sz w:val="28"/>
      </w:rPr>
      <w:fldChar w:fldCharType="separate"/>
    </w:r>
    <w:r>
      <w:rPr>
        <w:rFonts w:ascii="宋体" w:hAnsi="宋体" w:eastAsia="宋体"/>
        <w:sz w:val="28"/>
      </w:rPr>
      <w:t>3</w:t>
    </w:r>
    <w:r>
      <w:rPr>
        <w:rFonts w:ascii="宋体" w:hAnsi="宋体" w:eastAsia="宋体"/>
        <w:sz w:val="28"/>
      </w:rPr>
      <w:fldChar w:fldCharType="end"/>
    </w:r>
    <w:r>
      <w:rPr>
        <w:rFonts w:ascii="宋体" w:hAnsi="宋体" w:eastAsia="宋体"/>
        <w:sz w:val="28"/>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mirrorMargins w:val="1"/>
  <w:bordersDoNotSurroundHeader w:val="1"/>
  <w:bordersDoNotSurroundFooter w:val="1"/>
  <w:documentProtection w:enforcement="0"/>
  <w:defaultTabStop w:val="420"/>
  <w:evenAndOddHeaders w:val="1"/>
  <w:drawingGridHorizontalSpacing w:val="158"/>
  <w:drawingGridVerticalSpacing w:val="579"/>
  <w:displayHorizont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cwYzkwNzRjMzM5ZWMxYzBkZGY5NjMzNGViNTU4MGQifQ=="/>
  </w:docVars>
  <w:rsids>
    <w:rsidRoot w:val="4B3854E4"/>
    <w:rsid w:val="00041940"/>
    <w:rsid w:val="00105C50"/>
    <w:rsid w:val="001C783A"/>
    <w:rsid w:val="002033E3"/>
    <w:rsid w:val="00232A80"/>
    <w:rsid w:val="0027260D"/>
    <w:rsid w:val="002774D6"/>
    <w:rsid w:val="003F684F"/>
    <w:rsid w:val="00422081"/>
    <w:rsid w:val="004377FC"/>
    <w:rsid w:val="00507CE3"/>
    <w:rsid w:val="005B30B9"/>
    <w:rsid w:val="005E252A"/>
    <w:rsid w:val="0077298D"/>
    <w:rsid w:val="008063D1"/>
    <w:rsid w:val="008C0AD8"/>
    <w:rsid w:val="00A40B47"/>
    <w:rsid w:val="00A661D9"/>
    <w:rsid w:val="00A90DEB"/>
    <w:rsid w:val="00AC647C"/>
    <w:rsid w:val="00D83E41"/>
    <w:rsid w:val="00DE4E62"/>
    <w:rsid w:val="00F06042"/>
    <w:rsid w:val="00F72939"/>
    <w:rsid w:val="05E55F53"/>
    <w:rsid w:val="0C0F70F9"/>
    <w:rsid w:val="0DC23D27"/>
    <w:rsid w:val="12A20B21"/>
    <w:rsid w:val="149F2ED8"/>
    <w:rsid w:val="17D313A3"/>
    <w:rsid w:val="205C04A1"/>
    <w:rsid w:val="23FA0237"/>
    <w:rsid w:val="26396DF4"/>
    <w:rsid w:val="2E1273A7"/>
    <w:rsid w:val="3486483B"/>
    <w:rsid w:val="36D14E27"/>
    <w:rsid w:val="375201D1"/>
    <w:rsid w:val="379F6CD3"/>
    <w:rsid w:val="39FD4818"/>
    <w:rsid w:val="3C5A3E76"/>
    <w:rsid w:val="40736185"/>
    <w:rsid w:val="42512E91"/>
    <w:rsid w:val="42EA5EB8"/>
    <w:rsid w:val="43125214"/>
    <w:rsid w:val="4B3854E4"/>
    <w:rsid w:val="4E973D0A"/>
    <w:rsid w:val="50E55874"/>
    <w:rsid w:val="513E2C91"/>
    <w:rsid w:val="51525238"/>
    <w:rsid w:val="53A022C0"/>
    <w:rsid w:val="67B657F0"/>
    <w:rsid w:val="6A315055"/>
    <w:rsid w:val="6BA45BE5"/>
    <w:rsid w:val="6CF21262"/>
    <w:rsid w:val="6F7E382D"/>
    <w:rsid w:val="727D6DC5"/>
    <w:rsid w:val="751F40B7"/>
    <w:rsid w:val="77F51A1C"/>
    <w:rsid w:val="7AA162DA"/>
    <w:rsid w:val="7E0E1492"/>
    <w:rsid w:val="7E8D29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812</Words>
  <Characters>873</Characters>
  <Lines>8</Lines>
  <Paragraphs>2</Paragraphs>
  <TotalTime>6</TotalTime>
  <ScaleCrop>false</ScaleCrop>
  <LinksUpToDate>false</LinksUpToDate>
  <CharactersWithSpaces>881</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2023-07-07T02:39:00Z</dcterms:created>
  <dc:creator>祥子</dc:creator>
  <cp:lastModifiedBy>THINKPAD</cp:lastModifiedBy>
  <cp:lastPrinted>2023-07-10T01:04:00Z</cp:lastPrinted>
  <dcterms:modified xsi:type="dcterms:W3CDTF">2023-11-20T03:17:58Z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F0DA42E950784D7B8CF70394502CC058_11</vt:lpwstr>
  </property>
</Properties>
</file>